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19.03.2019, оставленным без изменения постановлением Девятого Арбитражного апелляционного суда от 07.08.2019 и постановлением Арбитражного суда Московского округа от 20.11.2019, в удовлетворении иска отказано. В кассационной жалобе общество «Меридиан» просит об отмене судебных актов, ссылаясь на необоснование вывода об отсутствии права на проценты и необсуждение соотношения их с контрактной неустойкой.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об отсутствии у общества «Меридиан» права на получение процентов основан на установленных судами обстоятельствах исполнения сделок, в силу которых требование к учреждению об исполнении контрактных обязательств последовательно переходило к обществам «ЮВЕНТА» и «Меридиан», и факте надлежащего исполнения учреждением обязательства. Требуемая в жалобе переоценка указанных обстоятельств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«Меридиан»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"Меридиан" (подробнее) Ответчики: ГОСУДАРСТВЕННОЕ БЮДЖЕТНОЕ УЧРЕЖДЕНИЕ ГОРОДА МОСКВЫ "ДИРЕКЦИЯ ПО ОБСЛУЖИВАНИЮ ТЕРРИТОРИЙ ЗЕЛЕНОГО ФОНДА ТРОИЦКОГО И НОВОМОСКОВСКОГО АДМИНИСТРАТИВНЫХ ОКРУГОВ ГОРОДА МОСКВЫ"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