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 государственная корпорация «Агентство по страхованию вкладов» обратился в суд с заявлением о признании недействительной сделкой договора уступки права требования к обществу с ограниченной ответственностью «Управляющая компания «ПалитраФИНАНС» от 06.07.2015, заключенного между должником и компанией «Твиндор Холдинг Лимитед», применении последствий недействительности сделки. Определением Арбитражного суда города Москвы от 05.02.2019, оставленным без изменения постановлениями Девятого арбитражного апелляционного суда от 20.09.2019 и Арбитражного суда Московского округа от 04.12.2019, требования удовлетворены, применены последствия недействительности сделки в виде возврата в конкурсную массу должника инвестиционных паев закрытого паевого инвестиционного фонда недвижимости «Первый Земельный» (далее – фонд) в количестве 33 525 штук, истребования у компании «Томхэв Лимитед» указанных паев, находящихся под управлением закрытого акционерного общества «Управляющая компания 2 «Виктори Эссет Менеджмент», признания права собственности банка на указанные инвестиционные паи, обязания акционерного общества «Объединенный специализированный депозитарий» перевести с лицевого счета компании «Топхэв Лимитед» и зачислить на лицевой счет банка инвестиционные паи фонда в количестве 33 525 штук, а так же зарегистрировать переход права собственности на указанные паи к банку в реестре владельцев паёв. В кассационных жалобах, поданных в Верховный Суд Российской Федерации, заявители просят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168 и 170 Гражданского кодекса Российской Федерации, статей 61.2 и 61.6 Федерального закона от 26.10.2002 № 127-ФЗ «О несостоятельности (банкротстве)», исходили из совершения сделки в период подозрительности с противоправной целью в отсутствие надлежащих доказательств наличия равноценного встречного исполнения и признали обоснованность требований, указав на следствие сделки – причинение вреда имущественным правам кредиторов должника, указав на наличие признаков притворности сделки,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заявителей были предметом рассмотрения судов и получили надлежащую правовую оценку, отклонены как несостоятельные с подробным изложением мотивов отклонения. Несогласие заявителей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частной акционерной компании с ограниченной ответственностью «Твиндор Холдинг Лимитед» и компании «Топхэв Лимитед»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