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Красноярского края от 27.05.2019, оставленным без изменения постановлением Третьего арбитражного апелляционного суда от 13.08.2019 и постановлением Арбитражного суда Восточно-Сибирского округа от 02.12.2019, иск удовлетворен. В кассационной жалобе, поданной в Верховный Суд Российской Федерации, общество, ссылаясь на нарушение судами норм материального права, просит отменить указанные судебные акты и принять новый судебный акт.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Суды первой и апелляционной инстанций, исследовав и оценив в порядке статьи 71 Арбитражного процессуального кодекса Российской Федерации представленные в материалы дела доказательства, проанализировав положения контракта по правилам статьи 431 Гражданского кодекса Российской Федерации, пришли к выводу о том, что его условиями на общество (подрядчика) возложена обязанность реализовать демонтированные в процессе производства работ металлические конструкции и изделия в пункте приема металлолома, инициировать составление акта комиссии для подтверждения наличия и количества металлолома, а также произвести возврат денежных средств за реализованный металлолом учреждению (заказчику). Установив отсутствие доказательств того, что ответчик в период производства работ обращался к истцу с предложением составить комиссионный акт, признав верным расчет задолженности, произведенный истцом на основании актов о приемке выполненных работ формы КС-2, отражающих объем металлических конструкций, руководствуясь статьями 309 , 310 , 702 , 763 Гражданского кодекса Российской Федерации, суды пришли к выводу о наличии оснований для удовлетворения иска, с чем впоследствии согласился суд округа. Доводы кассационной жалобы не опровергают выводы судов, направлены на переоценку обстоятельств дела, установленных судами, не подтверждают существенных нарушений судами норм материального и процессуального права, повлиявших на исход дела. Принимая во внимание изложенное и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«ПромСтрой»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МУНИЦИПАЛЬНОЕ КАЗЕННОЕ УЧРЕЖДЕНИЕ ГОРОДА КРАСНОЯРСКА "УПРАВЛЕНИЕ ДОРОГ, ИНФРАСТРУКТУРЫ И БЛАГОУСТРОЙСТВА" (подробнее) Ответчики: ООО "Промстрой" (подробнее) Судьи дела: Чучунова Н.С. (судья) (подробнее) Судебная практика по: По договору подряда Судебная практика по применению норм ст. 702, 703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