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26.06.2019, оставленным без изменения постановлением Двенадцатого арбитражного апелляционного суда от 03.09.2019, исковые требования удовлетворены. Арбитражный суд Поволжского округа постановлением от 09.12.2019 отменил указанные судебные акты и направил дело на новое рассмотрение в Арбитражный суд Волгоградской области.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принять новый судебный акт. 2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Суд кассационной инстанции вправе отменить решение суда первой инстанции и постановление суда апелляционной инстанции и направить дело на новое рассмотрение, действуя в пределах полномочий, предоставленных ему статьей 287 Арбитражного процессуального кодекса Российской Федерации и по основаниям, предусмотренным статьей 288 названного Кодекса. Изучив изложенные в кассационной жалобе доводы и обжалуемый судебный акт, учитывая, что после направления дела на новое рассмотрение судом первой инстанции 12.03.2020 принято решение по существу спора, которое подлежит обжалованию в установленном законом порядке,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