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указанной кассационной жалобой, одновременно заявив ходатайство о восстановлении срока ее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нем доводы, судья находит его подлежащим удовлетворению. Руководствуясь статьями 117 , 184 ,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удовлетворить. Срок подачи кассационной жалобы на постановление Арбитражного суда Московского округа от 28.10.2019 по делу № А40-247593/2018 Арбитражного суда города Москвы восстановить. Судья Верховного Суда Российской Федерации Е.Н. Зарубина Суд: Верховный Суд РФ (подробнее) Истцы: ООО "Крафт Логистика" (подробнее) Ответчики: Тп Нарышкина А В (подробнее) Судьи дела: Зарубина Е.Н. (судья) (подробнее) Последние документы по делу: Определение от 30 марта 2020 г. по делу № А40-247593/2018 Определение от 7 февраля 2020 г. по делу № А40-247593/2018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