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Шутов Никита Андреевич обратился в суд с заявлением о признании недействительными соглашения о распределении долей от 04.04.2014 и договоров дарения от 18.04.2014 и от 16.05.2014, заключенных должником с Чадаевой Ларисой Николаевной, применении последствий недействительности сделок. Определением Арбитражного суда Нижегородской области от 10.04.2019, оставленным без изменения постановлениями Первого арбитражного апелляционного суда от 08.08.2019 и Арбитражного суда Волго-Вятского округа от 05.12.2019,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результатах проведённой судебной оценочной экспертизы в соответствии с правилами главы 7 Арбитражного процессуального кодекса Российской Федерации, руководствуясь статьями 10, 167, 168 Гражданского кодекса Российской Федерации, статьями 2, 19, 231.32 Федерального закона от 26.10.2002 № 127-ФЗ «О несостоятельности (банкротстве)», исходили из того, что оспариваемые сделки совершены неплатёжеспособным должником при наличии неисполненных денежных обязательств с целью причинения вреда кредиторам посредством безвозмездного отчуждения принадлежащего ему имущества в пользу заинтересованного лица (супруги) и уменьшения конкурсной массы, что указывало на злоупотребление сторонами своим правом.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Чадаеву Юрию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