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13.03.2019, оставленным без изменения постановлением Двенадцатого арбитражного апелляционного суда от 06.06.2019 и постановлением Арбитражного суда Поволжского округа от 15.11.2019, в удовлетворении иска отказано. В кассационной жалобе предприятие просит об отмене судебных актов, ссылаясь на отсутствие у общества законных правомочий на оказание требуемых условиями закупки услуг по обеспечению пропускного и внутриобъектового режима.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исследовав заявленные предприятием основания и доводы в соответствии со статьей 449 Гражданского кодекса Российской Федерации, нормами Федерального закона от 05.04.2013 № 44-ФЗ «О контрактной системе в сфере закупок товаров, работ, услуг для обеспечения государственных нужд», Федерального закона от 09.02.2007 № 16-ФЗ «О транспортной безопасности» и Федерального закона от 14.04.1999 № 77-ФЗ «О ведомственной охране», не установили условий для удовлетворения иска, признав общество законно допускающимся для осуществления защиты объектов транспортной инфраструктуры, включая обеспечение пропускного и внутриобъектового режима. Приведенные в рассматриваемой жалобе доводы повторяют доводы, заявленные судам и получившие правовую оценку.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«Управление ведомственной охраны Министерства транспорта Российской Федерации»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ФГУП "УПРАВЛЕНИЕ ВЕДОМСТВЕННОЙ ОХРАНЫ МИНИСТЕРСТВА ТРАНСПОРТА РОССИЙСКОЙ ФЕДЕРАЦИИ" В ЛИЦЕ КРАСНОДАРСКОГО ФИЛИАЛА (подробнее) Ответчики: ООО "ФОРМУЛА БЕЗОПАСНОСТИ ТРАНСПОРТА" (подробнее) Федеральное бюджетное учреждение "Администрация Волго-Донского бассейна внутренних водных путей" (подробнее) Иные лица: ФБУ "Администрация Волго-Донского бассейна внутренних водных путей" (подробнее) ФГУП "УВО Минтранса России"-Северо-Кавказский филиал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