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обратился в Верховный Суд Российской Федерации с указанной кассационной жалобой, одновременно заявив ходатайство о восстановлении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судья находит его подлежащим удовлетворению. Руководствуясь статьями 117, 184, 291.2 Арбитражного процессуального кодекса Российской Федерации, суд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«Эллоис Элита» удовлетворить. Срок подачи кассационной жалобы на решение Арбитражного суда города Москвы от 26.07.2019 по делу № А40-264600/2018, постановление Девятого арбитражного апелляционного суда от 27.09.2019 и постановление Арбитражного суда Московского округа от 21.01.2020 по тому же делу восстановить.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