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«Сбербанк России» обратилось в суд с заявлением о признании недействительными сделками договоров купли-продажи транспортных средств – снегохода и квадроцикла от 01.07.2014, заключенных между должником и Матвиенко Ильёй Николаевичем, и применении последствий недействительности сделок в виде обязания Матвиенко И.Н. возвратить в конкурсную массу должника снегоход 2011 года выпуска, номер двигателя М7410139, квадроцикл 2008 года выпуска, номер двигателя М6961802. Определением Арбитражного суда Кемеровской области от 17.05.2019, оставленным без изменения постановлениями Седьмого арбитражного апелляционного суда от 29.08.2019 и Арбитражного суда Западно-Сибирского округа от 02.12.2019, требования удовлетворены.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61.2 и 61.6 Федерального закона от 26.10.2002 № 127-ФЗ «О несостоятельности (банкротстве)», установив, что сделка совершена с противоправной целью в пределах периода подозрительности при наличии признаков несостоятельности должника и неравноценном встречном исполнении, признали обоснованность требований, указав на следствие сделки – причинение вреда имущественным правам кредиторов должника,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Олину Вадиму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