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03.04.2019, оставленным без изменения постановлением Тринадцатого арбитражного апелляционного суда от 18.07.2019 и постановлением Арбитражного суда Северо-Западного округа от 10.12.2019,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Отказывая в удовлетворении иска, суды руководствовались статьями 196 , 199 , 200 , 431 , 702 , 703 , 708 , 711 , 753 , 763 Гражданского кодекса Российской Федерации, разъяснениями, приведенными в пунктах 1, 15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и исходили из пропуска обществом срока исковой давности, о чем было заявлено ответчиком.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«Стройреконструкция»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"Стройреконструкция" (подробнее) Ответчики: ФГБУ "МЕЖВУЗОВСКИЙ СТУДЕНЧЕСКИЙ ГОРОДОК В Санкт-ПетербургЕ" (подробнее) Судьи дела: Чучунова Н.С. (судья) (подробнее) Судебная практика по: По договору подряда Судебная практика по применению норм ст. 702, 703 ГК РФ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