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12.01.2018 исковые требования удовлетворены. Постановлением Девятнадцатого арбитражного апелляционного суда от 23.07.2019 решение суда первой инстанции отменено, в удовлетворении исковых требований отказано. Постановлением Арбитражного суда Центрального округа от 25.11.2019 постановление суда апелляционной инстанции отменено, дело направлено на новое рассмотрение в Девятнадцатый арбитражный апелляционный суд.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постановление апелляционной инстанции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«Домоуправление № 11»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"ОРЕЛЛИФТ" (подробнее) ООО "Эко-Транс" (подробнее) Ответчики: ООО "Домоуправление №11"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