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22.05.2019, оставленным без изменения постановлением Седьмого арбитражного апелляционного суда от 16.08.2019, взыскано 1 438 рублей 36 копеек процентов за пользование чужими денежными средствами за период с 16.11.2018 по 22.11.2018. Арбитражный суд Западно-Сибирского округа постановлением от 22.11.2019 решение от 22.05.2019 и постановление Седьмого арбитражного апелляционного суда от 16.08.2019 оставил без изменения. В кассационной жалобе предприниматель просит об отмене судебных актов, ссылаясь на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Правомочность осуществления контроля за операциями клиента, выразившегося в рассматриваемом случае в приостановлении дистанционного обслуживания счета, основана на нормах Федерального закона от 07.08.2001 № 115-ФЗ «О противодействии легализации (отмыванию) доходов, полученных преступным путем, и финансированию терроризма» и внутренних правилах банка. Суды установили возможность предпринимателя в спорный период распоряжаться находящимися на счете денежными средствами путем предъявления платежных документов на бумажном носителе и наличие просрочки исполнения банком такого документа с 16.11.2018 по 22.11.2018, за которую взысканы проценты. Иная оценка предпринимателем действий банка не составляет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Акеньшин Максим Сергеевич (подробнее) Ответчики: ПАО Банк ВТБ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