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28.06.2019, оставленным без изменения постановлением Третьего арбитражного апелляционного суда от 12.09.2019 и постановлением Арбитражного суда Восточно-Сибирского округа от 19.12.2019, с предприятия в пользу общества взыскано 5 832 522 руб. 88 коп. задолженности, в удовлетворении остальной части исковых требований отказано. В кассационной жалобе, поданной в Верховный Суд Российской Федерации, предприятие, ссылаясь на нарушение судами норм материального права, просит изменить указанные судебные акты и принять новый судебный акт об отказе в удовлетворении требований общества.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спорные работы были предусмотрены условиями договора, однако в ходе производства этих работ возникла необходимость увеличения их объема, что не повлекло увеличения твердой цены договора, данные работы приняты предприятием в составе всего объекта. При таких обстоятельствах, учитывая условие договора о том, что общая цена договора включает в себя, в том числе издержки на выполнение дополнительных, но не учтенных технической (и/или сметной) документацией работ, принимая во внимание отсутствие доказательств оплаты спорных работ, руководствуясь статьями 307 , 309 , 310 , 702 , 740 , 746 Гражданского кодекса Российской Федерации, суды пришли к выводу о наличии оснований для взыскания с предприятия заявленной суммы задолженности, с чем впоследствии согласился суд округа. Доводы кассационной жалобы не опровергают выводы судов,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унитарного предприятия «Главное промышленно-строительное управление» Федеральной службы исполнения наказаний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"Северпроектстрой" (подробнее) Ответчики: ФГУП "ГЛАВНОЕ ПРОМЫШЛЕННО-СТРОИТЕЛЬНОЕ УПРАВЛЕНИЕ" ФЕДЕРАЛЬНОЙ СЛУЖБЫ ИСПОЛНЕНИЯ НАКАЗАНИЙ (подробнее) Судьи дела: Чучунова Н.С. (судья) (подробнее) Судебная практика по: По договору подряда Судебная практика по применению норм ст. 702, 703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