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13.06.2019, оставленным без изменения постановлением Третьего арбитражного апелляционного суда от 29.08.2019 и постановлением Арбитражного суда Восточно-Сибирского округа от 16.12.2019, в удовлетворении иска отказано. В кассационной жалобе, поданной в Верховный Суд Российской Федерации, общество, ссылаясь на нарушение судами норм материального права,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Суды первой и апелляционной инстанций,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15 , 393 Гражданского кодекса Российской Федерации, пришли к выводу об отсутствии оснований для удовлетворения иска, исходя из недоказанности истцом совокупности условий, необходимых для привлечения ответчика к гражданско-правовой ответственности в виде взыскания убытков. Доводы кассационной жалобы не опровергают выводы судов, направлены на переоценку обстоятельств дела, установленных судами, не подтверждают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«ПромСтрой»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"Промстрой" (подробнее) Ответчики: ООО "Красноярскдорремстрой"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