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акты. Вместе с кассационной жалобой предпринимателем подано ходатайство о зачете государственной пошлины в размере 3000 руб., уплаченной по чеку-ордеру от 26.10.2019 № 8.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на судебные акты арбитражного суда в Верховный Суд Российской Федерации подлежит уплате государственная пошлина в размере 3000 руб. 2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Названной нормой установлены сроки и порядок подачи заявления о зачете. Рассмотрев ходатайство предпринимателя и представленные в его обоснование документы, суд приходит к выводу о наличии оснований для его удовлетворения. Руководствуясь статьями 104, 184, 185 Арбитражного процессуального кодекса Российской Федерации и статьями 333.21, 333.40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Кудряшова Евгения Юрьевича о зачете государственной пошлины удовлетворить. Зачесть уплаченную Кудряшовым Евгением Юрьевичем государственную пошлину в размере 3000 руб., перечисленных по чеку-ордеру от 26.10.2019 № 8, в счет уплаты государственной пошлины за рассмотрение кассационной жалобы на решение Арбитражного суда Еврейской автономной области от 16.10.2019, постановление Шестого арбитражного апелляционного суда от 16.12.2019 и постановление Арбитражного суда Дальневосточного округа от 26.02.2020 по делу № А16-2729/2019.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