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Овчаренко С.А. обратился в суд с заявлением о признании недействительной сделкой действий должника по начислению Горбачевой И.А. премии в размере 700 000 рублей за октябрь 2016 года и применении последствий недействительности сделки. Определением Арбитражного суда Омской области от 03.06.2019, оставленным без изменения постановлениями Восьмого арбитражного апелляционного суда от 28.08.2019 и Арбитражного суда Западно-Сибирского округа от 09.12.2019, требования удовлетворены, применены последствия недействительности в виде взыскания с Горбачевой И.А. в конкурсную массу должника денежных средств в размере 700 000 рублей. В кассационной жалобе, поданной в Верховный Суд Российской Федерации, заявитель просит отменить названные судебные акты,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исходили из совершения сделки с противоправной целью после возбуждения дела о банкротстве должника при неравноценном встречном исполнении за пределами обычной хозяйственной деятельности должника и признали обоснованность требований,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Горбачевой Инне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