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«Алмаз Капитал» (далее – общество) обратилось в суд с заявлением о включении в реестр требований кредиторов его требований в размере 1 488 106 472 рублей 37 копеек обеспеченных залогом имущества должника. Определением Арбитражного суда Ставропольского края от 15.04.2019, оставленным без изменения постановлениями Шестнадцатого арбитражного апелляционного суда от 04.09.2019 и Арбитражного суда Северо-Кавказского округа от 03.12.2019, требования признаны обоснованными и подлежащими включению в третью очередь реестра требований кредиторов должника как обеспеченные залогом имущества должника.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 в Арбитражный суд Ставропольского края.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общества с заявленными требованиями, пришли к выводу об их обоснованности и подтверждённости, указав на отсутствие доказательств погашения задолженности должником либо поручителями.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о заинтересованности общества и должника были предметом рассмотрения судов и получил надлежащую правовую оценку, отклонены как несостоятельные с подробным изложением мотивов отклонения.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«Энергосберегающие Технологии» и обществу с ограниченной ответственностью «Реторг»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