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её кредитор Аносов Алексей Иванович обратился в суд с заявлением о признании недействительными сделками: уменьшение 100 % доли участия Иванова А.Г. в обществе с ограниченной ответственностью «ЧОП «Кончак» посредством введения в состав его участников Коржова А.П.; увеличение уставного капитала общества «ЧОП «Кончак»; выход Иванова А.Г. из состава участников общества с ограниченной ответственностью «АСК «АЛЬЯНС»; увеличение уставного капитала общества «АСК «АЛЬЯНС»; применении последствий недействительности сделок. Определением Арбитражного суда города Москвы от 09.08.2019, оставленным без изменения постановлением Девятого арбитражного апелляционного суда от 18.10.2019, в удовлетворении заявления о признании недействительными сделок и применении последствий их недействительности отказано. Постановлением Арбитражного суда Московского округа от 22.01.2020 указанные судебные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статьями 10, 167, 170 Гражданского кодекса Российской Федерации,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исходил из того, что судебные акты приняты без полного исследования всех доказательств и фактических обстоятельств, имеющих существенное значение для правильного разрешения спора, в том числе вне проверки приводимых кредитором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Аносовой Олесе Александровне, Иванову Александру Григорьевичу и Коржову Александру Петровичу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