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11.06.2019, оставленным без изменения постановлением Девятого арбитражного апелляционного суда от 30.08.2019, в удовлетворении иска отказано. Арбитражный суд Московского округа постановлением от 05.12.2019 решение от 11.06.2019 и постановление Девятого арбитражного апелляционного суда от 30.08.2019 оставил без изменения. В кассационной жалобе предприниматель просит об отмене указанных судебных актов как незаконных, ссылаясь на несоответствие вывода судов о том, что товарно-материальные ценности не являлись предметом страхования, условиям страхования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929 Гражданского кодекса Российской Федерации по договору страхования имущества страховщик возмещает страхователю причиненные вследствие страхового случая убытки в застрахованном имуществе. Суды по итогу оценки условий договоров страхования имущества от 10.02.2017 № 1100055202 и № 1100055203 установили, что объектом страхования являлись внутренняя отделка и инженерное оборудование определенного объекта недвижимости, а также поименованное движимое имущество. Имущественные интересы страхователя, связанные с риском утраты (гибели) или повреждения товара, находящегося в продаже, не являлись объектом страхования, поэтому отказ судов во взыскании их стоимости в качестве страхового возмещения соответствует условиям страхования. Иное толкование условий страхования, заложенное в доводах кассационной жалобы, противоречит установленному судами содержанию договоров и нормам права о страховании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Мудунгасановой Х.Г.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