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обратился в суд с заявлением о признании недействительной сделкой соглашения об отступном (цессии) от 07.10.2016, заключенного между должником и обществом с ограниченной ответственности «Торговый дом «АССА», применении последствий недействительности сделки. Определением Арбитражного суда Московской области от 14.05.2019, оставленным без изменения постановлениями Десятого арбитражного апелляционного суда от 29.08.2019 и Арбитражного суда Московского округа от 25.11.2019,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Федерации, руководствуясь статьями 61.1, 61.2, 61.4 Федерального закона от 26.10.2002 № 127-ФЗ «О несостоятельности (банкротстве)», пунктом 15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выводу о недоказанности совокупности условий для признания недействительной сделки, совершённой в рамках обычной хозяйственной деятельности и при равноценном встречном исполнении.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обществом с ограниченной ответственностью «Каскад» Семёнову Владимиру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