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Ямало-Ненецкого автономного округа решением от 08.06.2019, оставленным без изменения постановлением Восьмого арбитражного апелляционного суда от 20.09.2019, иск удовлетворен. Арбитражный суд Западно-Сибирского округа постановлением от 19.12.2019 решение от 08.06.2019 и постановление Восьмого арбитражного апелляционного суда от 20.09.2019 оставил без изменения. В кассационной жалобе общество «Уютный город» просит об отмене судебных актов, ссылаясь на формальность выводов судов о наличии условий для взыскания убытков. 2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правомерно исходили из презюмируемой в силу статей 15, 1064 Гражданского кодекса Российской Федерации вины ответчика как управляющей организации (статья 162 Жилищного кодекса Российской Федерации) в ненадлежащем содержании общего имущества многоквартирного дома, при использовании которого причинен вред, и непредставления доказательств причастности к возникновению убытков иного лица, недостоверности расчета убытков.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«Уютный город»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