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Сахалинской области от 12.02.2018 иск удовлетворен в заявленном размере. Постановлением Пятого арбитражного апелляционного суда от 17.07.2018 решение изменено: взыскано 107 501 рубль 54 копейки убытков. Постановлением Арбитражного суда Дальневосточного округа от 08.11.2018 постановление апелляционного суда оставлено без изменения. В кассационной жалобе ФТС России просит об отмене судебных актов как незаконных, ссылаясь на отсутствие условий для взыскания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имеется. Суды установили несение обществом расходов на хранение товара, оформление необходимых для помещения товара на СВХ документов в период действия введенного таможней запрета на выпуск товара. Учитывая признание в рамках дела № А59-123/2017 решения таможни об отказе в выпуске товара незаконным, суды правомерно признали наличие необходимых в силу статей 15 , 1069 Гражданского кодекса Российской Федерации условий для взыскания расходов общества в качестве убытков и удовлетворили иск. Довод ФТС России о неминимизации обществом убытков как основании для отказа в их взыскании обсужден судами и признан необоснованным.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таможенной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"Сигма-Трейд" (подробнее) Ответчики: САХАЛИНСКАЯ ТАМОЖНЯ (подробнее) Федеральная таможенная служба РФ (подробнее) Судьи дела: Ксенофонтова Н.А. (судья)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