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07.06.2019 взыскано 13 400 рублей страхового возмещения. Семнадцатый арбитражный апелляционный суд постановлением от 10.09.2019 отменил решение от 07.06.2019 и отказал в удовлетворении иска в связи с недобросовестностью истца. Арбитражный суд Уральского округа постановлением от 13.12.2019 постановление Семнадцатого арбитражного апелляционного суда от 10.09.2019 оставил без изменения. В кассационной жалобе предприниматель просит об отмене судебных актов апелляционного и окружного судов, ссылаясь на неосновательное признание обязательств страховщика прекратившимися.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в связи обращением потерпевшего по поводу повреждения транспортного средства ответчик выполнил предусмотренные Федеральным законом от 25.04.2002 № 40-ФЗ «Об обязательном страховании гражданской ответственности владельцев транспортных средств» обязанности: произвел осмотр поврежденного транспортного средства и выплатил страховое возмещение. Суд апелляционной инстанции в рамках компетенции не признал надлежащим доказательством требуемых убытков составленное по заказу истца спустя три года после страхового случая экспертное заключение о размере убытков в связи с повреждением транспортного средства.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Сысоеву П.А.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