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25.03.2019, оставленным без изменения постановлением Девятого арбитражного апелляционного суда от 20.09.2019 и постановлением Арбитражного суда Московского округа от 24.12.2019, иск удовлетворен частично. В кассационной жалобе общество «Главная линия» просит отменить судебные акты вследствие несоответствия выводов судов обстоятельствам дела и представленным доказательствам, неприменимости штрафа к вмененному нарушению.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требуемый штраф установлен контрактом от 28.11.2014 № 281114/ВП за нарушение, не связанное с просрочкой исполнения обязательств, под которое попадает вмененное обществу нарушение, поэтому взыскан в соответствии с контрактом и обстоятельствами его исполнения. Обстоятельства спорного нарушения учтены судами при применении статьи 333 Гражданского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«Главная линия»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