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её требований в размере 1 318 620 рублей 70 копеек. Определением Арбитражного суда города Москвы от 15.07.2019, оставленным без изменения постановлениями Девятого арбитражного апелляционного суда от 25.09.2019 и Арбитражного суда Московского округа от 25.11.2019, производство по заявлению компании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 первой инстанции руководствовался пунктом 2 части 1 статьи 150 Арбитражного процессуального кодекса Российской Федерации и исходил из того, что ранее принятым по настоящему делу судебным актом компании отказано во включении в реестр аналогичного и тождественного вновь заявленному по предмету и основаниям требования на ту же сумму. С указанными выводами впоследствии согласились суды апелляционной инстанции и округа, указав, что сама по себе ссылка на различные нормы права, подлежащие применению при рассмотрении заявленного требования при условии положенных с основу иска фактических обстоятельств, не меняет его оснований.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генерирующая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