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20.05.2019, оставленным без изменения постановлением Девятого арбитражного апелляционного суда от 27.08.2019 и постановлением Арбитражного суда Московского округа от 04.12.2019, иск удовлетворен частично. В кассационной жалобе общество «Главная линия» просит отменить судебные акты вследствие несоответствия выводов судов обстоятельствам дела и представленным доказательствам, неприменимости штрафа к вмененному нарушению.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требуемый штраф установлен контрактом от 30.12.2016 № 301216/ВП за нарушение, не связанное с просрочкой исполнения обязательств, под которое попадает вмененное обществу нарушение, поэтому взыскан на основании контракта и в соответствии со статьей 330 Гражданского кодекса Российской Федерации. Обстоятельства спорного нарушения учтены судами при применении статьи 333 Гражданского кодекса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«Главная линия»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Министерство обороны Российской Федерации (подробнее) Ответчики: АО "Военторг"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