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08.05.2019, оставленным без изменения постановлением Девятого арбитражного апелляционного суда от 08.08.2019 и постановлением Арбитражного суда Московского округа от 25.11.2019, в удовлетворении иска отказано. В кассационной жалобе общество просит о пересмотре судебных актов, ссылаясь на поставку товара согласованного качества и отсутствие основания для отказа в его принятии.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исполнения сторонами государственного контракта от 21.05.2018 № Ф.2018.189206/153 на поставку серверного оборудования, установили несоблюдение поставщиком (обществом) условия о качестве как основание для отказа заказчика (фонда) от исполнения контракта, поэтому отказали в иске в соответствии со статьями 309, 450, 450.1, 469, 475, 523, 526 Гражданского кодекса Российской Федерации, статьей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Оспаривание заявителем оценки обстоятельств исполнения контракта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«Навигатор»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