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21.05.2019, оставленным без изменения постановлением Тринадцатого арбитражного апелляционного суда от 23.08.2019 и постановлением Арбитражного суда Северо-Западного округа от 19.12.2019, заявленное требование удовлетворено. 2 В кассационной жалобе, поданной в Верховный Суд Российской Федерации, антимонопольный орган просит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в действиях комитета установлено нарушение части 1 статьи 15 Федерального закона от 26.07.2006 № 135-ФЗ «О защите конкуренции» (далее – Закон о защите конкуренции), что выразилось в закупке за счет бюджетных средств у определенного хозяйствующего субъекта (предприятия) работ по эксплуатации, сопровождению и развитию Межведомственной автоматизированной информационной системы предоставления в Санкт-Петербурге государственных и муниципальных услуг в электронном виде (далее - МАИС ЭГУ) в 2017 и 2018 годах путем заключения государственных контрактов от 30.12.2016 № 11/17, от 28.12.2017 № 4/18 способом закупки у единственного поставщика (подрядчика, исполнителя) в отсутствие правовых оснований, установленных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Признавая решение антимонопольного органа незаконным, суды, оценив представленные в материалы дела доказательства, руководствуясь положениями статьи 15 Закона о защите конкуренции, статьи 93 Закона о контрактной системе, статей 2, 13, 14 Федерального закона от 27.07.2006 № 149-ФЗ «Об информации, информационных технологиях и о защите информации», статьи 3 Закона Санкт-Петербурга от 07.07.2009 № 371-70 «О государственных информационных системах Санкт-Петербурга», постановлением Правительства Санкт-Петербурга от 07.06.2010 № 736 «О создании Межведомственной автоматизированной информационной системы представления в Санкт-Петербурге государственных и муниципальных услуг в электронном виде», пришли к выводу о недоказанности наличия в действиях комитета вменяемого нарушения антимонопольного законодательства ввиду правомерного осуществления закупки у единственного исполнителя - предприятия. 3 Судебные инстанции исходили из того, что предприятие является оператором МАИС ЭГУ; обладает исключительными полномочиями в части выполнения работ по развитию, эксплуатации, сопровождению системы; владеет всей информацией и инструментарием для качественного выполнения всего комплекса работ с соблюдением требований по защите информации, хранящейся и поступающей в систему; обладает особым опытом и знаниями в части архитектуры системы, процесса ее создания и развития; соблюдает преемственность методик работы. При этом обеспечить штатную работу МАИС ЭГУ может только лицо, которое одновременно выполняет работы по развитию, эксплуатации и сопровождению МАИС ЭГУ, способное аккумулировать все задачи, необходимые для выполнения в рамках системы, поддерживая ее бесперебойную работу. Доводы, изложенные в кассационной жалобе, не опровергают выводы судов, сделанные с учетом установленных обстоятельства дела, и не свидетельствуют о существенном нарушении судами норм материального и процессуального права. Несогласие управления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