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обратилась в суд с заявлением о признании недействительными сделками: договора уступки права требования от 01.08.2005 № 4, заключенного закрытым акционерным обществом «ТК Спартак» и индивидуальным предпринимателем ФИО3; договора уступки права требования от 04.08.2005 № 13, заключенного ФИО3 и обществом с ограниченной ответственностью «АТиК-Промт». ФИО2 также ходатайствовала об истребовании доказательств. Определением Арбитражного суда Ульяновской области от 19.12.2018, оставленным без изменения постановлениями Одиннадцатого арбитражного апелляционного суда от 21.03.2019 и Арбитражного суда Поволжского округа от 03.07.2019, отказано в удовлетворении требований. В кассационной жалобе, поданной в Верховный Суд Российской Федерации, заявитель просит отменить указанные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требований,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195 , 196 , 199 и 200 Гражданского кодекса Российской Федерации, статей 61.2, 61.3 и 61.9 Федерального закона от 26.10.2002 № 127-ФЗ «О несостоятельности (банкротстве)», исходили из пропуска срока исковой давности для предъявления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 Последние документы по делу: Определение от 20 декабря 2019 г. по делу № А72-8799/2005 Определение от 22 октября 2019 г. по делу № А72-8799/2005 Показать все документы по этому делу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