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30.04.2019, оставленным без изменения постановлением Второго арбитражного апелляционного суда от 25.07.2019 и постановлением Арбитражного суда Волго-Вятского округа от 20.11.2019, в удовлетворении иска отказано. В кассационной жалобе общество просит отменить судебные акты, ссылаясь на несоразмерность примененных последствий установленному нарушению.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Вступление в правоотношения на заведомо известных условиях налагает на общество обязанность исполнения таких условий и несение риска последствий неисполнения. Нарушение обществом (поставщиком) условий контракта от 24.09.2018 № 0340200003318010001-0080264-04 в качестве основания для одностороннего отказа учреждения (заказчика) от его исполнения установлено судами, поэтому в удовлетворении иска отказано в соответствии с обстоятельствами исполнения обязательства, статьями 309, 310, 450, 506, 508, 523 Гражданского кодекса Российской Федерации и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«Медицинские Инновации»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