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общества «Барнаульская генерация» обратилось в суд с заявлением о взыскании с арбитражного управляющего Олейника М.И. убытков в размере 11 702 107 рублей 54 копеек. Определением Арбитражного суда Алтайского края от 10.06.2019, оставленным без изменения постановлениями Седьмого арбитражного апелляционного суда от 09.10.2019 и Арбитражного суда Западно-Сибирского округа от 23.01.2020, требования удовлетворены. Не согласившись с вышеуказанными судебными актами, Олейник М.И.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негативные финансовые последствия для Олейника М.И., связанные с исполнением 2 обжалуемого определения, и на затруднительность возможного поворота исполнения указанного судебного акта,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арбитражного управляющего Олейника Михаила Ихелевича о приостановлении исполнения определения Арбитражного суда Алтайского края от 10.06.2019 по делу № А03-7608/2017, оставленного без изменения постановлением Седьмого арбитражного апелляционного суда от 09.10.2019 и постановлением Арбитражного суда Западно-Сибирского округа от 23.01.2020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