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незаконными действий внешнего управляющего Васильевой Елены Николаевны по введению новых штатных единиц согласно перечню; признании недействительными трудовых договоров и дополнительных соглашений к ним и применении последствий их недействительности. Определением Арбитражного суда Республики Башкортостан от 26.04.2019, оставленным без изменения постановлениями Восемнадцатого арбитражного апелляционного суда от 30.07.2019 и Арбитражного суда Уральского округа от 22.11.2019, в удовлетворении заявленных требований отказано. В кассационной жалобе, поданной в Верховный Суд Российской Федерации, заявитель просит отменить и принять по делу новый судебный акт об удовлетворении заявленных им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167 Гражданского кодекса Российской Федерации, статьями 20.3, 60, 94, 99 Федерального закона от 26.10.2002 № 127-ФЗ «О несостоятельности (банкротстве)», исходили из того, что принятые внешним управляющим меры в целях оптимизации деятельности должника не свидетельствовали о недобросовестном поведении и злоупотреблении ею своим правом, в связи с чем не усмотрели оснований для признания незаконными оспариваемых заявителем действий 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«Интеграл» Седову Василию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