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А41-35862/2019 и одновременно ходатайствует о приостановлении их исполнения, указывая на затруднительность возможного поворота исполнения и ухудшение вследствие исполнения финансового положения общества. Рассмотрев ходатайство, суд не усматривает требуемых в силу статьи 291.6 Арбитражного процессуального кодекса Российской Федерации условий для его удовлетворения.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«Квартал Гальчино» в приостановлении исполнения решения Арбитражного суда Московской области от 30.09.2019 по делу № А41-35862/2019.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