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06.06.2019, оставленным без изменения постановлением Девятого арбитражного апелляционного суда от 07.10.2019 и постановлением Арбитражного суда Московского округа от 16.12.2019, в удовлетворении иска департамента отказано. В кассационной жалобе, поданной в Верховный Суд Российской Федерации, департамент, ссылаясь на существенное нарушение норм права, просит отменить судебные акты и исковые требования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департаментом и обществом заключен договор, на основании которого последнему в целях возмещения затрат на финансирование проекта «Развитие деятельности предприятия по торговле снаряжением и одеждой для путешествий» предоставлена субсидия в размере 350 000 рублей. В связи с тем, что в нарушение условий договора общество не обеспечило выполнение в полном объеме комплекса мероприятий, предусмотренных проектом, не достигло социально-экономических показателей реализации проекта и не предоставило департаменту в полном объеме необходимую отчетную документацию, департамент направил требование о возврате бюджетных средств и уплате договорной неустойки. Неисполнение требования в добровольном порядке послужило основанием для обращения департамента в арбитражный суд. Отказывая в удовлетворении иска, суды трех инстанций, оценив представленные в материалы дела доказательства применительно к условиям заключенного между сторонами договора, руководствуясь положениями статей 309 , 310 , 330 Гражданского кодекса Российской Федерации, пришли к выводу об отсутствии оснований для возврата субсидии и начисления неустойки ввиду исполнения обществом принятых по договору обязательств в полном объеме. Судебные инстанции отметили, что использование обществом бюджетных средств по назначению и предоставление им отчетов в соответствии с пунктом 5.1 договора подтверждено департаментом в акте об исполнении договора от 11.11.2010. Доводы жалобы, сводящиеся к неверному исчислению срока исковой давности, подлежат отклонению, поскольку спор рассмотрен судами по существу и в удовлетворении требований отказано по причине недоказанности департаментом факта нецелевого использования бюджетных средств. Иные доводы, изложенные в кассационной жалобе, не опровергают выводы судов, были предметом их рассмотрения и с учетом установленных обстоятельств не подтверждают существенного нарушения норм материального и процессуального права, повлиявших на исход дела. При таких обстоятельствах, оснований для передачи кассационной жалобы на рассмотрение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предпринимательства и инновационного развития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Департамент инвестиционной и промышленной политики города Москвы (подробнее) Ответчики: ООО "СПОРТ-ВЭЙ"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