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собрания его кредиторов Неверова Светлана Алексеевна обратилась в суд с жалобой на действия (бездействие) конкурсного управляющего должником Зайцева Александра Николаевича, а также ходатайством об отстранении последнего от исполнения возложенных на него обязанностей. Определением Арбитражного суда города Москвы от 17.06.2019, оставленным без изменения постановлениями Девятого арбитражного апелляционного суда от 06.09.2019 и Арбитражного суда Московского округа от 27.11.2019, требования удовлетворены в части признания незаконными действий (бездействия) конкурсного управляющего по непредставлению собранию кредиторов документов, подтверждающих сведения, изложенные в отчётах, непредставлении собранию кредиторов сведений о текущих обязательствах должника. В удовлетворении остальной части заявленных требований было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ходатайства об отстранении конкурсного управляющего.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 в обжалуемой части, суды руководствовались статьями 20.3, 83, 213.9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недоказанности наличия установленных законом оснований для отстранения Зайцева А.Н. от исполнения обязанностей конкурсного управляющего по мотивам отсутствия обоснованных сомнений в способности последнего к надлежащему ведению процедур банкротства, причинения убытков должнику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«Трест «Ямалгастройдобыча» Черкесовой Оксане Исмаиловне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