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бюджетное учреждение здравоохранения Воронежской области «Воронежская областная клиническая больница № 1» (заказчик) обратилось в Арбитражный суд Воронежской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«ПрофМед» (поставщику) о расторжении контракта от 04.01.2017 № 1150-4973 на поставку медицинских изделий на первое полугодие 2017 года в связи с уклонением поставщика от его исполнения и взыскании 3 750 рублей 41 копейки штрафа. К участию в деле в качестве третьего лица, не заявляющего самостоятельных требований относительно предмета спора, привлечена Федеральная служба по надзору в сфере здравоохранения. Решением Арбитражного суда Воронежской области от 30.04.2019 (с учетом определения об исправлении опечатки от 30.04.2019) иск удовлетворен. Постановлением Девятнадцатого арбитражного апелляционного суда от 29.08.2019 решение суда первой инстанции оставлено без изменения. Арбитражный суд Центрального округа постановлением от 04.12.2019 указанные судебные акты оставил без изменения. Общество с ограниченной ответственностью «ПрофМед»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поставщиком обязательств, предусмотренных контрактом – поставку товара, не соответствующего условиям контракта, признав правомерным отказ истца от принятия и оплаты товара, руководствуясь положениями статей 450 , 469 , 506 , 516 , 523 Гражданского кодекса Российской Федерации,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об обоснованности иска.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Ссылка заявителя на несоблюдение истцом досудебного порядка урегулирования спора отклонена судами как противоречащая имеющимся в материалах дела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«ПрофМед»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БЮДЖЕТНОЕ УЧРЕЖДЕНИЕ ЗДРАВООХРАНЕНИЯ ВОРОНЕЖСКОЙ ОБЛАСТИ "ВОРОНЕЖСКАЯ ОБЛАСТНАЯ КЛИНИЧЕСКАЯ БОЛЬНИЦА №1" (подробнее) Ответчики: ООО "ПрофМед"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