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горда Санкт-Петербурга и Ленинградской области от 23.05.2019, оставленным без изменения постановлением Тринадцатого арбитражного апелляционного суда от 21.08.2019, первоначальный и встречный иски удовлетворены, в результате взаимозачета удовлетворенных требований с общества в пользу фирмы взыскано 1 228 099 руб. 95 коп. Арбитражный суд Северо-Западного округа постановлением от 06.12.2019 решение суда первой инстанции, постановление суда апелляционной инстанции в части удовлетворения первоначального иска и зачета взаимных требований отменил, в удовлетворении первоначального иска отказал, в остальной части судебные акты оставил без изменения. В кассационной жалобе, поданной в Верховный Суд Российской Федерации, фирма, ссылаясь на нарушение судом округа норм права, просит отменить его постановление и оставить в силе решение суда первой инстанции и постановление суда апелляционной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обжалуемого судебного акта и доводов кассационной жалобы не установлено. Отменяя судебные акты в части удовлетворения первоначального иска и отказывая в его удовлетворении, суд округа, принимая во внимание установленные судами первой и апелляционной инстанций фактические обстоятельства, руководствуясь статьей 410 Гражданского кодекса Российской Федерации, пришел к выводу о том, что обязательство общества по оплате спорных работ прекратилось зачетом встречного однородного требования. Доводы кассационной жалобы не опровергают выводы суда округа, не подтверждают существенных нарушений норм материального и процессуального права, повлиявших на исход дела, и не являются достаточным основанием для пересмотра обжалуемого судебного акта в кассационном порядке.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«Производственная фирма «АСК»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ПРОИЗВОДСТВЕННАЯ ФИРМА "АСК" (подробнее) Ответчики: АО "ДИМИТРОВГРАДСКИЙ ЗАВОД ХИМИЧЕСКОГО МАШИНОСТРОЕНИЯ"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