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ФИО2 и общество с ограниченной ответственностью «Культура» обратились в Арбитражный суд Удмуртской Республики с иском к ФИО1 о признании недействительным договора залога от 01.10.2016 с изменениями, внесенными дополнительным соглашением от 27.10.2016 № 1. К участию в деле в качестве третьих лиц, не заявляющих самостоятельных требований относительно предмета спора, привлечены индивидуальный предприниматель ФИО3, Управление Федеральной службы государственной регистрации, кадастра и картографии по Удмуртской Республике, ФИО4. Решением Арбитражного суда Удмуртской Республики от 15.05.2019, оставленным без изменения постановлением Семнадцатого арбитражного апелляционного суда от 13.09.2019 и постановлением Арбитражного суда Уральского округа от 26.12.2019, заявленные требования удовлетворены.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Согласно части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292 и 312 АПК РФ предельные допустимые сроки для его восстановления. Учитывая, что ходатайство о восстановлении пропущенного процессуального срока заявлено ФИО1 в пределах установленного предельного срока, изложенные в нем причины признаны судом уважительными, данное ходатайство подлежит удовлетворению на основании части 2 статьи 291.2 АПК РФ . Учитывая изложенное, суд полагает возможным восстановить срок подачи кассационной жалобы. Руководствуясь статьями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ФИО1. Срок подачи кассационной жалобы на решение Арбитражного суда Удмуртской Республики от 15.05.2019, постановление Семнадцатого арбитражного апелляционного суда от 13.09.2019 и постановление Арбитражного суда Уральского округа от 26.12.2019 по делу № А71-16188/2017 восстановить. Судья Верховного Суда Российской Федерации Н.С. Чучунова Суд: Верховный Суд РФ (подробнее) Истцы: ООО "Культура" (подробнее) Иные лица: МВД России МВД по УР Управление экономической безопасности и противодействия коррупции (подробнее) Следственная часть по расследованию организованной преступной деятельности Следственного управления МВД по УР (подробнее) Федеральное бюджетное учреждение Средне-Волжский региональный центр судебной экспертизы (подробнее) Судьи дела: Чучунова Н.С. (судья) (подробнее) Последние документы по делу: Определение от 18 мая 2020 г. по делу № А71-16188/2017 Определение от 24 марта 2020 г. по делу № А71-16188/2017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