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20.05.2019, оставленным без изменения постановлением Шестнадцатого арбитражного апелляционного суда от 21.08.2019, постановлением Арбитражного суда Северо-Кавказского округа от 28.11.2019,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09.06.2017 выдана лицензия № 452/390 на право оказания охранных услуг со сроком действия до 07.01.2020 и 20.12.2017 выдано разрешение на хранение и использование оружия и патронов к нему РХИ 0199004 со сроком действия до 30.12.2018. Общество 28.11.2018 через портал государственных услуг обратилось в управление с заявлением о продлении срока действия разрешения на хранение и использование оружия и патронов к нему от 20.12.2017 РХИ 0199004. По результатам рассмотрения заявления управление уведомлением от 24.12.2018 № 122/1-2257 отказало обществу в продлении срока действия разрешения на хранение и использование оружия и патронов к нему. Полагая, что действия управления являются незаконными, общество обратилось в арбитражный суд. Исследовав и оценив представленные доказательства, суды первой и апелляционной инстанций, руководствуясь положениями статей 1, 9, 13, 22, 25 Федерального закона от 13.12.1996 № 150-ФЗ «Об оружии», пунктами 1, 9, 13 Административного регламента по предоставлению государственной услуги по выдаче юридическому лицу разрешения на хранение и использование оружия и патронов к нему или гражданину Российской Федерации разрешения на хранение и использование спортивного огнестрельного короткоствольного оружия с нарезным стволом и патронов к нему на стрелковом объекте, утвержденного приказом МВД России от 21.05.2012 № 529 (далее - Административный регламент), постановлением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Федерации»,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Федерации, утвержденной приказом МВД России от 12.04.1999 № 288 «О мерах по реализации постановления Правительства Российской Федерации от 21.07.1998 № 814», пришли к выводу об отсутствии правовых оснований для удовлетворения заявленных требований. Судебные инстанции установили, что в заявлении, поданном обществом, отсутствовали необходимые сведения, а также в нарушение требований пункта 9.4.1. Административного регламента не представлен список работников юридического лица, ответственных за сохранность и учет оружия и патронов. Доводы заявителя, изложенные в жалобе, в том числе о предоставлении дополнительных документов, подаче нового заявления на выдачу разрешения, а также наличии процессуальных нарушений,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«Беркут»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ЧОО "Беркут" (подробнее) Ответчики: УПРАВЛЕНИЕ ФЕДЕРАЛЬНОЙ СЛУЖБЫ ВОЙСК НАЦИОНАЛЬНОЙ ГВАРДИИ РОССИЙСКОЙ ФЕДЕРАЦИИ ПО РЕСПУБЛИКЕ ДАГЕСТАН (подробнее) Управление Федеральной службы войск национальной гвардии РФ по РД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