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30.04.2019 иск удовлетворен. Постановлением Девятого арбитражного апелляционного суда от 29.07.2019 решение суда первой инстанции отменено, в удовлетворении иска отказано. Постановлением Арбитражного суда Московского округа от 18.11.2019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учреждение, ссылаясь на нарушение судом округа норм права, просит отменить его постановление и оставить в силе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контракта от 24.10.2017 № РР-ХК-ГКБ1/17 и действия сторон по согласованию спорных работ, суд первой инстанции установил, что эти работы выполнены обществом по поручению учреждения, являлись необходимыми для достижения целей контракта, их стоимость не превышает десяти процентов от цены контракта. При таких обстоятельствах, принимая во внимание отсутствие замечаний в отношении объема и качества выполненных работ, а также доказательств их оплаты, руководствуясь положениями статей 709 , 711 , 743 , 746 , 763 Гражданского кодекса Российской Федерации,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суд пришел к выводу о наличии оснований для удовлетворения иска.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кассационной жалобы не опровергают выводы судов первой и инстанции и округа,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бюджетного учреждения здравоохранения города Москвы «Дирекция развития объектов здравоохранения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"Интеграл" (подробнее) Ответчики: ГОСУДАРСТВЕННОЕ БЮДЖЕТНОЕ УЧРЕЖДЕНИЕ ЗДРАВООХРАНЕНИЯ ГОРОДА МОСКВЫ "МЕДПРОЕКТ"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