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29.12.2018 в удовлетворении иска отказано. Постановлением Девятого арбитражного апелляционного суда от 09.08.2019 решение суда первой инстанции отменено в части отказа в иске о взыскании 850 271 739 руб. 62 коп. долга, исковые требования в указанной части удовлетворены, в остальной части решение суда оставлено без изменения. Постановлением Арбитражного суда Московского округа от 19.11.2019 постановление суда апелляционной инстанции отменено, дело направлено на новое рассмотрение в Девятый арбитражный апелляционный суд.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постановление суда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и дать оценку доводам сторон.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«Агентство-Порати»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