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рассмотрение кассационной жалобы назначено в судебном заседании на 30 марта 2020 года на 10 часов 00 минут в помещении суда по адресу: Москва, улица Поварская, дом 15, зал № 3048 (подъезд 5). В связи с принятием совместного постановления Президиума Верховного Суда Российской Федерации и Президиума Совета судей Российской Федерации от 18.03.2020, учитывая, что дело уже назначено к рассмотрению в судебном заседании и оно не относится к числу споров безотлагательного характера, следует изменить время судебного разбирательства. Руководствуясь статьей 184 Арбитражного процессуального кодекса Российской Федерации, председатель судебного состава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перенести время рассмотрения кассационной жалобы закрытого акционерного общества «Группа компаний «Электрощит» – ТМ Самара» на постановление Арбитражного суда Дальневосточного округа от 22.10.2019 по делу № А59-2230/2015 Арбитражного суда Сахалинской области в судебном заседании Судебной коллегии по экономическим спорам Верховного Суда Российской Федерации на 20 апреля 2020 года на 11 часов 00 минут. Судебное заседание состоится в помещении суда по адресу: Москва, улица Поварская, дом 15, зал № 3048 (подъезд 5).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