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«АвтоВазБанк» обратилось в суд с заявлением о включении в реестр требований кредиторов должника 1 665 585 515 рублей 12 копеек. Определением Арбитражного суда Иркутской области от 17.05.2019, оставленным без изменения постановлениями Четвёртого арбитражного апелляционного суда от 30.07.2019 и Арбитражного суда Восточно-Сибирского округа от 26.11.2019, в удовлетворении ходатайства о привлечении третьего лица отказано; требование публичного акционерного общества «Национальный банк «ТРАСТ» (правопреемник общества «АвтоВазБанк»; далее – банк) признано обоснованным и включено в реестр, в том числе как частично обеспеченное залогом имущества должника. В кассационных жалобах, поданных в Верховный Суд Российской Федерации, заявители просят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признали состоявшимся и фактически оплаченным переход к банку прав, вытекающих из документально подтверждённых кредитных отношений с должником, в связи с чем признали заявленное требование обоснованным и подлежащим включению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«Комплект Сервис» Стефанкиву Владимиру Михайловичу, обществам с ограниченной ответственностью «ТрансГрузЛогистика» и «Ремонтно-строительное предприятие № 795»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