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акционерное общество «АвтоВазБанк» обратилось в суд с заявлением о включении в реестр требований кредиторов должника 1 665 585 515 рублей 12 копеек. Определением Арбитражного суда Иркутской области от 17.05.2019, оставленным без изменения постановлениями Четвёртого арбитражного апелляционного суда от 30.07.2019 и Арбитражного суда Восточно-Сибирского округа от 26.11.2019, в удовлетворении ходатайства о привлечении третьего лица отказано; требование публичного акционерного общества «Национальный банк «ТРАСТ» (правопреемник общества «АвтоВазБанк»; далее – банк) признано обоснованным и включено в реестр, в том числе как частично обеспеченное залогом имущества должника. В кассационных жалобах, поданных в Верховный Суд Российской Федерации, заявители просят отменить указанные судебные акты и направить обособленный спор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признали состоявшимся и фактически оплаченным переход к банку прав, вытекающих из документально подтверждённых кредитных отношений с должником, в связи с чем признали заявленное требование обоснованным и подлежащим включению в реестр.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«Комплект Сервис» ФИО1, обществам с ограниченной ответственностью «ТрансГрузЛогистика» и «Ремонтно-строительное предприятие № 795»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АО "АвтовазБанк" (подробнее) ООО "Азия Центр" (подробнее) ООО "ПРИАНГАРСКИЙ ЛЕСОПЕРЕРАБАТЫВАЮЩИЙ КОМПЛЕКС" (подробнее) ООО "Ремонтно-строительное предприятие №795" (подробнее) ООО "ТрансГрузЛогистика" (подробнее) ПАО НАЦИОНАЛЬНЫЙ БАНК "ТРАСТ" (подробнее) Ответчики: ООО "Комплект Сервис" (подробнее) Иные лица: АО "Лесопильно-деревообрабатывающий комплекс Игирма" (подробнее) ООО "Бизнес Групп" (подробнее) ООО "Сибирский лес" (подробнее) ООО "СЭЛ Транс" (подробнее) ООО "Транс-Сибирская лесная компания" "ТСЛК"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