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26.03.2019, оставленным без изменением постановлением 2 Тринадцатого арбитражного апелляционного суда от 11.07.2019 и постановлением Арбитражного суда Северо-Западного округа от 18.11.2019, в удовлетворении первоначальных исковых требований отказано, встречные исковые требования удовлетворены. В кассационной жалобе, поданной в Верховный Суд Российской Федерации, общество выражает несогласие с указанными судебными актами, ссылаясь на нарушение судами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контракта, а также обстоятельства его исполнения сторонами, руководствуясь положениями статей 15, 329, 330, 393, 702, 723, 753, 763, 779, 782, 783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первой и апелляционной инстанций пришли к выводу о наличии оснований для отказа в удовлетворении первоначальных требований и удовлетворения встречных требований,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аналогичны доводам, ранее заявлявшимся в судах и получившим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«Южный край»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