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соглашения от 29.12.2015 по погашению ссудной задолженности общества перед должником в размере 80 000 000 рублей, вытекающей из договоров о предоставлении кредитной линии от 01.09.2014 № 42-ком, от 10.04.2015 № 11-ком, путём передачи банку векселей Д001, Д002, Д003, Д004, Д005, Д006, Д007, Д008 общества с ограниченной ответственностью «Дельта» (далее – общество «Дельта») и применении последствий недействительности сделки. Определением Арбитражного суда города Москвы от 12.02.2018, оставленным без изменения постановлением Девятого арбитражного апелляционного суда от 24.04.2018, отказано в удовлетворении требований. Постановлением Арбитражного суда Московского округа от 16.07.2018 отменены определение суда первой инстанции от 12.02.2018 и постановление апелляционного суда от 24.04.2018, обособленный спор направлен на новое рассмотрение в Арбитражный суд города Москвы. 2 При новом рассмотрении определением Арбитражного суда города Москвы от 05.07.2019, оставленным без изменения постановлениями Девятого арбитражного апелляционного суда от 05.09.2019 и Арбитражного суда Московского округа от 27.11.2019, заявление удовлетворено частично, признано недействительным соглашение о расторжении договоров о предоставлении кредита в форме кредитной линии от 29.12.2015, применены последствия недействительности сделки в виде восстановления задолженности общества перед должником по договорам о предоставлении кредитной линии от 01.09.2014 № 42-ком, от 10.04.2015 № 11-ком в общем размере 80 000 000 рублей, восстановлены права требования общества к должнику в размере номинальной стоимости векселей общества «Дельта» Д001, Д002, Д003, Д004, Д005, Д006, Д007, Д008, выпущенных 24.12.2015, отказано в удовлетворении остальной части требований о применения последствий недействительности сделки. В кассационной жалобе, поданной в Верховный Суд Российской Федерации, заявитель просит отменить указанные судебные акты, направить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61.2 и 61.6 Федерального закона от 26.10.2002 № 127-ФЗ «О несостоятельности (банкротстве)», установив, что активы общества «Дельта» не позволяли обеспечить указанные векселя в соответствии с их номиналом, пришли к выводу о совершении оспариваемой сделки с противоправной целью при неравноценном встречном исполнении за два месяца до отзыва у банка лицензии и признали обоснованность требований,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Доводы заявителя были предметом рассмотрения судов и получил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«Зеркально-Стекольная мастерская»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