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акционерное общество «Пром-Актив» (далее – кредитор) обратилось в суд с заявлением о включении в реестр требований кредиторов должника требований в сумме 2 178 796 рублей 04 копеек задолженности по оплате поставленного в соответствии с договором поставки продукции от 01.01.2016 № 2 товара, право требования которой перешло к кредитору на основании договоров уступки права требования от 30.04.2018 и 09.10.2018. Определением Арбитражного суда Владимирской области от 23.05.2019, оставленным без изменения постановлениями Первого арбитражного апелляционного суда от 16.08.2019 и Арбитражного суда Волго-Вятского округа от 21.11.2019, заявление удовлетворено.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10, 382, 384, 388, 454, 486, 516Гражданского кодекса Российской Федерации, статьями 71, 100 Федерального закона от 26.10.2002 № 127-ФЗ «О несостоятельности (банкротстве)», позицией, изложенной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реальности возникших между сторонами договорных отношений, отсутствия в действиях указанных лиц признаков злоупотребления правом, доказанности наличия и размера задолженности, в связи с чем, признали обоснованным требование кредитора.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«Монострой»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