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Башкортостан от 02.07.2018, оставленным без изменения постановлениями Восемнадцатого арбитражного апелляционного суда от 27.08.2019 и Арбитражного суда Уральского округа от 28.11.2019, процедура реализации имущества должника завершена, Кармолина Л.И.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В кассационной жалобе, поданной в Верховный Суд Российской Федерации, заявитель просит отменить указанные судебные акты в части освобождения должника от дальнейшего исполнения требований кредиторов.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должника,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213.27 и 213.28 Федерального закона от 26.10.2002 № 127-ФЗ «О несостоятельности (банкротстве)», признал наличие возможности применения в отношении должника правил об освобождении от исполнения обязательств в отсутствии признаков преднамеренного или фиктивного банкротства, указав на недоказанность оснований для неосвобождения должника от обязательств, в том числе на отсутствие признаков противоправного поведения.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Газизовой Зумрад Зайнагтдиновне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