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Шальнёв Алексей Владимирович (далее – кредитор) обратился в суд с заявлением о признании требований в размере 35 760 000 рублей основного долга по договору займа, процентов и судебных расходов обоснованными и включении в третью очередь реестра требований кредиторов. Определением Арбитражного суда Московской области от 02.08.2019 удовлетворены ходатайство кредитора о восстановлении пропущенного срока и его заявление. Постановлением Десятого арбитражного апелляционного суда от 10.10.2019 вышеуказанное определение изменено в части размера требований, требования кредитора в размере 35 000 000 рублей основного долга, 623 663 рублей 91 копейки процентов и 60 000 рублей расходов по уплате государственной пошлины включены в третью очередь реестра. Постановлением Арбитражного суда Московского округа от 15.01.2020 отменено постановление апелляционного суда от 10.10.2019 в части включения в третью очередь реестра 60 000 рублей расходов по уплате государственной пошлины.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указал, что требования кредитора подтверждены документально, основаны на заключенной сторонами заёмной сделке, восстановил срок на подачу заявления ввиду уважительности причин его пропуска. Изменяя определение в части включения требований в реестр, апелляционный суд исходил из того, что в ходе возбужденного в отношении должника исполнительного производства № 41317/15/77012-ИП кредитору была выплачена часть заёмных денежных средств. Отменяя принятое по спору постановление апелляционного суда в части включения в реестр суммы расходов по уплате государственной пошлины, окружной суд констатировал факт её погашения в рамках названного исполнительного производства.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Максимченко Алексея Ивановича Сидорову Павлу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