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Кочеткова Раиса Прохоровна обратилась в суд с заявлением о включении в реестр требований кредиторов должника суммы вексельного долга в размере 54 860 000 рублей. Определением Арбитражного суда Иркутской области от 22.08.2019, оставленным без изменения постановлениями Четвертого арбитражного апелляционного суда от 22.10.2019 и Арбитражного суда Восточно-Сибирского округа от 18.12.2019, требования признаны обоснованными, в третью очередь реестра требований кредиторов должника включено 54 759 787 рублей 62 копейки основного долга.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Иркутской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100 Федерального закона от 26.10.2002 № 127-ФЗ «О несостоятельности (банкротстве)», пришли к выводу об обоснованности и подтверждённости требований Кочетковой Р.П. к должнику, указав на частичное погашение задолженности в ходе исполнительного производства и на отсутствие доказательств полного погашения должником данных требований.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Федоткина Сергея Евгеньевича Погодаеву Константину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